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6B34E" w14:textId="29A43020" w:rsidR="006C30BD" w:rsidRPr="001A1621" w:rsidRDefault="00A27894" w:rsidP="00AB38A5">
      <w:pPr>
        <w:pStyle w:val="ad"/>
        <w:spacing w:after="240"/>
        <w:contextualSpacing/>
        <w:jc w:val="both"/>
      </w:pPr>
      <w:r>
        <w:t>The “</w:t>
      </w:r>
      <w:r w:rsidR="00921ECD" w:rsidRPr="00921ECD">
        <w:t>Kumtor Gold Company</w:t>
      </w:r>
      <w:r>
        <w:t>”</w:t>
      </w:r>
      <w:r w:rsidR="00921ECD" w:rsidRPr="00921ECD">
        <w:t xml:space="preserve"> CJSC </w:t>
      </w:r>
      <w:r w:rsidR="009B0DB3" w:rsidRPr="009B0DB3">
        <w:t>invites you to participate in the selection process for the supply of original spare parts, components, and consumables for FROST FIGHTER IDF500 and IDF350 oil-fired heaters</w:t>
      </w:r>
      <w:r w:rsidR="00921ECD" w:rsidRPr="00921ECD">
        <w:t xml:space="preserve"> by requesting quotations.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A63DCF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</w:rPr>
              <w:t>Submission format:</w:t>
            </w:r>
          </w:p>
        </w:tc>
        <w:tc>
          <w:tcPr>
            <w:tcW w:w="7344" w:type="dxa"/>
          </w:tcPr>
          <w:p w14:paraId="08C5CFB0" w14:textId="77777777" w:rsidR="003E1B02" w:rsidRPr="001A1621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</w:pPr>
            <w:r w:rsidRPr="00CE0BDB">
              <w:t xml:space="preserve">The application for participation and other documents must be signed by a person authorized to sign the application and obligations under the contract. </w:t>
            </w:r>
          </w:p>
          <w:p w14:paraId="27BD4511" w14:textId="77777777" w:rsidR="003E1B02" w:rsidRPr="001A1621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</w:pPr>
            <w:r w:rsidRPr="00CE0BDB">
              <w:t>Documents must be sealed and submitted in PDF format. (duplicate the price table in .xlsx format).</w:t>
            </w:r>
          </w:p>
          <w:p w14:paraId="421277BA" w14:textId="2BE8A061" w:rsidR="00CE3E81" w:rsidRPr="001A1621" w:rsidRDefault="003E1B02" w:rsidP="003E1B02">
            <w:pPr>
              <w:pStyle w:val="ad"/>
              <w:spacing w:before="0" w:beforeAutospacing="0" w:after="240" w:afterAutospacing="0"/>
              <w:contextualSpacing/>
              <w:jc w:val="both"/>
            </w:pPr>
            <w:r w:rsidRPr="00CE0BDB">
              <w:t xml:space="preserve">The authority of the signatory must be confirmed by </w:t>
            </w:r>
            <w:r w:rsidR="009545A4" w:rsidRPr="00CE0BDB">
              <w:t>the power</w:t>
            </w:r>
            <w:r w:rsidRPr="00CE0BDB">
              <w:t xml:space="preserve"> of attorney or certified copies of the relevant documents.</w:t>
            </w:r>
          </w:p>
        </w:tc>
      </w:tr>
      <w:tr w:rsidR="00CE3E81" w:rsidRPr="00A63DCF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</w:rPr>
              <w:t>Procedure for submitting proposals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5E45BC33" w:rsidR="00FF6FAB" w:rsidRPr="001A1621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CE0BDB">
              <w:rPr>
                <w:rFonts w:ascii="Times New Roman" w:hAnsi="Times New Roman" w:cs="Times New Roman"/>
              </w:rPr>
              <w:t xml:space="preserve">Selection participants must </w:t>
            </w:r>
            <w:r w:rsidR="009545A4" w:rsidRPr="00CE0BDB">
              <w:rPr>
                <w:rFonts w:ascii="Times New Roman" w:hAnsi="Times New Roman" w:cs="Times New Roman"/>
              </w:rPr>
              <w:t>apply</w:t>
            </w:r>
            <w:r w:rsidRPr="00CE0BDB">
              <w:rPr>
                <w:rFonts w:ascii="Times New Roman" w:hAnsi="Times New Roman" w:cs="Times New Roman"/>
              </w:rPr>
              <w:t xml:space="preserve"> for participation in Russian or English in accordance with the requirements, attach the necessary copies of documents and send them electronically to the </w:t>
            </w:r>
            <w:hyperlink r:id="rId5" w:history="1">
              <w:r w:rsidR="00592FA1" w:rsidRPr="008E7B63">
                <w:rPr>
                  <w:rStyle w:val="af0"/>
                  <w:rFonts w:ascii="Times New Roman" w:hAnsi="Times New Roman" w:cs="Times New Roman"/>
                </w:rPr>
                <w:t>frost_fighter@kumtor.kg</w:t>
              </w:r>
            </w:hyperlink>
            <w:r w:rsidR="00592FA1" w:rsidRPr="00592FA1">
              <w:rPr>
                <w:rFonts w:ascii="Times New Roman" w:hAnsi="Times New Roman" w:cs="Times New Roman"/>
              </w:rPr>
              <w:t xml:space="preserve"> </w:t>
            </w:r>
            <w:r w:rsidRPr="00CE0BDB">
              <w:rPr>
                <w:rFonts w:ascii="Times New Roman" w:hAnsi="Times New Roman" w:cs="Times New Roman"/>
              </w:rPr>
              <w:t xml:space="preserve">email address </w:t>
            </w:r>
            <w:r w:rsidR="00E13598" w:rsidRPr="00E13598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E0BDB">
              <w:rPr>
                <w:rFonts w:ascii="Times New Roman" w:hAnsi="Times New Roman" w:cs="Times New Roman"/>
              </w:rPr>
              <w:t xml:space="preserve">by </w:t>
            </w:r>
            <w:r w:rsidRPr="003F2804">
              <w:rPr>
                <w:rFonts w:ascii="Times New Roman" w:hAnsi="Times New Roman" w:cs="Times New Roman"/>
                <w:b/>
                <w:bCs/>
              </w:rPr>
              <w:t xml:space="preserve">16:00 on February </w:t>
            </w:r>
            <w:r w:rsidR="00592FA1" w:rsidRPr="00592FA1">
              <w:rPr>
                <w:rFonts w:ascii="Times New Roman" w:hAnsi="Times New Roman" w:cs="Times New Roman"/>
                <w:b/>
                <w:bCs/>
              </w:rPr>
              <w:t>20</w:t>
            </w:r>
            <w:r w:rsidRPr="003F2804">
              <w:rPr>
                <w:rFonts w:ascii="Times New Roman" w:hAnsi="Times New Roman" w:cs="Times New Roman"/>
                <w:b/>
                <w:bCs/>
              </w:rPr>
              <w:t xml:space="preserve">, 2026. </w:t>
            </w:r>
          </w:p>
          <w:p w14:paraId="42F4B998" w14:textId="77777777" w:rsidR="001A3F60" w:rsidRPr="001A1621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  <w:p w14:paraId="79EC9246" w14:textId="71A8A7EC" w:rsidR="00EF0BFC" w:rsidRPr="001A1621" w:rsidRDefault="000336EC" w:rsidP="00EF0BFC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Commercial proposals received by other mail will not be considered.</w:t>
            </w:r>
          </w:p>
          <w:p w14:paraId="03B487DC" w14:textId="77777777" w:rsidR="00EF0BFC" w:rsidRPr="001A1621" w:rsidRDefault="00EF0BFC" w:rsidP="00EF0BFC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  <w:p w14:paraId="685BF850" w14:textId="3FCCC349" w:rsidR="00811934" w:rsidRPr="001A1621" w:rsidRDefault="00EF0BFC" w:rsidP="00EF0BFC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list of goods to be purchased is attached to this tender documentation.</w:t>
            </w:r>
          </w:p>
        </w:tc>
      </w:tr>
      <w:tr w:rsidR="00873419" w:rsidRPr="00A63DCF" w14:paraId="073C3681" w14:textId="77777777" w:rsidTr="00CE3E81">
        <w:tc>
          <w:tcPr>
            <w:tcW w:w="2335" w:type="dxa"/>
          </w:tcPr>
          <w:p w14:paraId="0549176D" w14:textId="2C3E34CD" w:rsidR="00873419" w:rsidRPr="001A1621" w:rsidRDefault="00873419" w:rsidP="00873419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</w:rPr>
              <w:t>The application for participation must contain the following documents:</w:t>
            </w:r>
            <w:bookmarkEnd w:id="0"/>
          </w:p>
        </w:tc>
        <w:tc>
          <w:tcPr>
            <w:tcW w:w="7344" w:type="dxa"/>
          </w:tcPr>
          <w:p w14:paraId="17F5778B" w14:textId="43937188" w:rsidR="00873419" w:rsidRPr="001A1621" w:rsidRDefault="00873419" w:rsidP="00873419">
            <w:pPr>
              <w:tabs>
                <w:tab w:val="left" w:pos="1613"/>
              </w:tabs>
              <w:rPr>
                <w:rFonts w:ascii="Times New Roman" w:hAnsi="Times New Roman" w:cs="Times New Roman"/>
              </w:rPr>
            </w:pPr>
            <w:r w:rsidRPr="003F2804">
              <w:rPr>
                <w:rFonts w:ascii="Times New Roman" w:hAnsi="Times New Roman" w:cs="Times New Roman"/>
              </w:rPr>
              <w:t xml:space="preserve">Commercial </w:t>
            </w:r>
            <w:r w:rsidR="006D7A97">
              <w:rPr>
                <w:rFonts w:ascii="Times New Roman" w:hAnsi="Times New Roman" w:cs="Times New Roman"/>
              </w:rPr>
              <w:t>proposal con</w:t>
            </w:r>
            <w:r w:rsidR="00902D8C">
              <w:rPr>
                <w:rFonts w:ascii="Times New Roman" w:hAnsi="Times New Roman" w:cs="Times New Roman"/>
              </w:rPr>
              <w:t>sidering</w:t>
            </w:r>
            <w:r w:rsidRPr="003F2804">
              <w:rPr>
                <w:rFonts w:ascii="Times New Roman" w:hAnsi="Times New Roman" w:cs="Times New Roman"/>
              </w:rPr>
              <w:t>:</w:t>
            </w:r>
          </w:p>
          <w:p w14:paraId="0AC85860" w14:textId="0A502180" w:rsidR="004312C2" w:rsidRPr="001A1621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</w:rPr>
            </w:pPr>
            <w:r w:rsidRPr="003F2804">
              <w:rPr>
                <w:rFonts w:ascii="Times New Roman" w:hAnsi="Times New Roman" w:cs="Times New Roman"/>
              </w:rPr>
              <w:t>• Delivery times</w:t>
            </w:r>
          </w:p>
          <w:p w14:paraId="42F3025D" w14:textId="2352AEDD" w:rsidR="004312C2" w:rsidRPr="001A1621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</w:rPr>
            </w:pPr>
            <w:r w:rsidRPr="003F2804">
              <w:rPr>
                <w:rFonts w:ascii="Times New Roman" w:hAnsi="Times New Roman" w:cs="Times New Roman"/>
              </w:rPr>
              <w:t>∙ Terms of delivery</w:t>
            </w:r>
          </w:p>
          <w:p w14:paraId="7FAE790E" w14:textId="76C0A745" w:rsidR="004312C2" w:rsidRPr="001A1621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</w:rPr>
            </w:pPr>
            <w:r w:rsidRPr="003F2804">
              <w:rPr>
                <w:rFonts w:ascii="Times New Roman" w:hAnsi="Times New Roman" w:cs="Times New Roman"/>
              </w:rPr>
              <w:t>∙ Payment terms</w:t>
            </w:r>
          </w:p>
          <w:p w14:paraId="60145636" w14:textId="58A800B0" w:rsidR="004312C2" w:rsidRPr="001A1621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</w:rPr>
            </w:pPr>
            <w:r w:rsidRPr="003F2804">
              <w:rPr>
                <w:rFonts w:ascii="Times New Roman" w:hAnsi="Times New Roman" w:cs="Times New Roman"/>
              </w:rPr>
              <w:t xml:space="preserve">• Validity of the </w:t>
            </w:r>
            <w:r w:rsidR="00902D8C">
              <w:rPr>
                <w:rFonts w:ascii="Times New Roman" w:hAnsi="Times New Roman" w:cs="Times New Roman"/>
              </w:rPr>
              <w:t>Commercial proposal</w:t>
            </w:r>
            <w:r w:rsidRPr="003F2804">
              <w:rPr>
                <w:rFonts w:ascii="Times New Roman" w:hAnsi="Times New Roman" w:cs="Times New Roman"/>
              </w:rPr>
              <w:t xml:space="preserve"> (please specify the maximum period)</w:t>
            </w:r>
          </w:p>
        </w:tc>
      </w:tr>
      <w:tr w:rsidR="00241099" w:rsidRPr="00A63DCF" w14:paraId="363591C7" w14:textId="77777777" w:rsidTr="00CE3E81">
        <w:tc>
          <w:tcPr>
            <w:tcW w:w="2335" w:type="dxa"/>
          </w:tcPr>
          <w:p w14:paraId="396488B8" w14:textId="45B2B24B" w:rsidR="00241099" w:rsidRPr="00CE0BDB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t>Evaluation criteria:</w:t>
            </w:r>
          </w:p>
        </w:tc>
        <w:tc>
          <w:tcPr>
            <w:tcW w:w="7344" w:type="dxa"/>
          </w:tcPr>
          <w:p w14:paraId="60DDC0AD" w14:textId="621F920A" w:rsidR="00241099" w:rsidRPr="001A1621" w:rsidRDefault="00F27751" w:rsidP="00CE0BDB">
            <w:pPr>
              <w:pStyle w:val="ad"/>
              <w:spacing w:before="240" w:beforeAutospacing="0" w:after="0" w:afterAutospacing="0"/>
              <w:contextualSpacing/>
              <w:jc w:val="both"/>
            </w:pPr>
            <w:r w:rsidRPr="003F2804">
              <w:t>The proposal that presented the lowest cost and optimal delivery time will be recognized as selected.</w:t>
            </w:r>
          </w:p>
        </w:tc>
      </w:tr>
      <w:tr w:rsidR="0089095C" w:rsidRPr="00A63DCF" w14:paraId="3DDCD04F" w14:textId="77777777">
        <w:tc>
          <w:tcPr>
            <w:tcW w:w="9679" w:type="dxa"/>
            <w:gridSpan w:val="2"/>
          </w:tcPr>
          <w:p w14:paraId="20E4FE72" w14:textId="77777777" w:rsidR="00DA0DBA" w:rsidRDefault="00FE5E6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3F2804">
              <w:t xml:space="preserve">A proposal indicating the subject: </w:t>
            </w:r>
            <w:r w:rsidR="00902D8C">
              <w:t>“</w:t>
            </w:r>
            <w:r w:rsidR="00DA0DBA" w:rsidRPr="00DA0DBA">
              <w:t>Frost fighter</w:t>
            </w:r>
            <w:r w:rsidR="00902D8C">
              <w:t>”</w:t>
            </w:r>
            <w:r w:rsidRPr="003F2804">
              <w:t xml:space="preserve"> should be sent by e-mail to</w:t>
            </w:r>
          </w:p>
          <w:p w14:paraId="1FB43DDA" w14:textId="77777777" w:rsidR="00DA0DBA" w:rsidRPr="00DA0DBA" w:rsidRDefault="00DA0DB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  <w:p w14:paraId="4FFF0E20" w14:textId="77777777" w:rsidR="0089095C" w:rsidRDefault="00DA0DB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DA0DBA">
              <w:t>frost_fighter@kumtor.kg email address   by 16:00 on February 20, 2026.</w:t>
            </w:r>
          </w:p>
          <w:p w14:paraId="129D76A2" w14:textId="4A5985BE" w:rsidR="00DA0DBA" w:rsidRPr="00DA0DBA" w:rsidRDefault="00DA0DB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</w:p>
        </w:tc>
      </w:tr>
      <w:tr w:rsidR="0089095C" w:rsidRPr="00A63DCF" w14:paraId="7F922E09" w14:textId="77777777">
        <w:tc>
          <w:tcPr>
            <w:tcW w:w="9679" w:type="dxa"/>
            <w:gridSpan w:val="2"/>
          </w:tcPr>
          <w:p w14:paraId="21B0329B" w14:textId="285C88F2" w:rsidR="0089095C" w:rsidRPr="001A1621" w:rsidRDefault="00227CCF" w:rsidP="0057090A">
            <w:pPr>
              <w:pStyle w:val="ad"/>
              <w:spacing w:before="240" w:beforeAutospacing="0" w:after="0" w:afterAutospacing="0"/>
              <w:contextualSpacing/>
              <w:jc w:val="both"/>
            </w:pPr>
            <w:r w:rsidRPr="00CE0BDB">
              <w:t xml:space="preserve">The Customer shall have the right to accept or reject any or </w:t>
            </w:r>
            <w:r w:rsidR="009545A4" w:rsidRPr="00CE0BDB">
              <w:t>all</w:t>
            </w:r>
            <w:r w:rsidRPr="00CE0BDB">
              <w:t xml:space="preserve"> the proposals, as well as to cancel the selection process at any time prior to the award of the </w:t>
            </w:r>
            <w:r w:rsidR="00902D8C">
              <w:t>Contrac</w:t>
            </w:r>
            <w:r w:rsidRPr="00CE0BDB">
              <w:t>t, without incurring any obligations to the relevant participants.</w:t>
            </w:r>
          </w:p>
        </w:tc>
      </w:tr>
      <w:tr w:rsidR="0089095C" w:rsidRPr="00A63DCF" w14:paraId="6C07F3C7" w14:textId="77777777">
        <w:tc>
          <w:tcPr>
            <w:tcW w:w="9679" w:type="dxa"/>
            <w:gridSpan w:val="2"/>
          </w:tcPr>
          <w:p w14:paraId="4BF0B2CB" w14:textId="506F74BF" w:rsidR="00241099" w:rsidRPr="001A1621" w:rsidRDefault="0027617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The quotation must be on official letterhead. </w:t>
            </w:r>
          </w:p>
        </w:tc>
      </w:tr>
      <w:tr w:rsidR="0089095C" w:rsidRPr="00A63DCF" w14:paraId="19323EC5" w14:textId="77777777">
        <w:tc>
          <w:tcPr>
            <w:tcW w:w="9679" w:type="dxa"/>
            <w:gridSpan w:val="2"/>
          </w:tcPr>
          <w:p w14:paraId="2512D533" w14:textId="54609EAF" w:rsidR="002956E0" w:rsidRPr="001A1621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</w:pPr>
            <w:r w:rsidRPr="00CE0BDB">
              <w:t xml:space="preserve">         Commercial proposals submitted by the Selection Participants later than the specified deadlines are not accepted and will not be considered.</w:t>
            </w:r>
          </w:p>
          <w:p w14:paraId="5E89C092" w14:textId="74346851" w:rsidR="002956E0" w:rsidRPr="001A1621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r w:rsidRPr="00CE0BDB">
              <w:t>By submitting his</w:t>
            </w:r>
            <w:r w:rsidR="00902D8C">
              <w:t>/her proposal</w:t>
            </w:r>
            <w:r w:rsidRPr="00CE0BDB">
              <w:t>, the Participant thereby agrees to all the conditions specified in the requirements of the Company.</w:t>
            </w:r>
          </w:p>
          <w:p w14:paraId="65AD7FF9" w14:textId="77777777" w:rsidR="002956E0" w:rsidRPr="001A1621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r w:rsidRPr="00CE0BDB">
              <w:t>Each selection participant can submit only one bid.</w:t>
            </w:r>
          </w:p>
          <w:p w14:paraId="4C13529E" w14:textId="127C743E" w:rsidR="002956E0" w:rsidRPr="001A1621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r w:rsidRPr="00CE0BDB">
              <w:t>The validity period of the bid shall be at least 30 calendar days.</w:t>
            </w:r>
          </w:p>
          <w:p w14:paraId="0B500DE8" w14:textId="4E7F3FD1" w:rsidR="0089095C" w:rsidRPr="001A1621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r w:rsidRPr="00CE0BDB">
              <w:t xml:space="preserve">It is not allowed to </w:t>
            </w:r>
            <w:r w:rsidR="0040098F" w:rsidRPr="00CE0BDB">
              <w:t>amend</w:t>
            </w:r>
            <w:r w:rsidRPr="00CE0BDB">
              <w:t xml:space="preserve"> the tender bids during the term of validity of the tender bid. </w:t>
            </w:r>
          </w:p>
        </w:tc>
      </w:tr>
      <w:tr w:rsidR="00121EDB" w:rsidRPr="00A63DCF" w14:paraId="541ABC97" w14:textId="77777777">
        <w:tc>
          <w:tcPr>
            <w:tcW w:w="9679" w:type="dxa"/>
            <w:gridSpan w:val="2"/>
          </w:tcPr>
          <w:p w14:paraId="27070A16" w14:textId="4F90A22E" w:rsidR="00121EDB" w:rsidRPr="001A1621" w:rsidRDefault="007179F0" w:rsidP="002956E0">
            <w:pPr>
              <w:pStyle w:val="ad"/>
              <w:spacing w:before="240" w:beforeAutospacing="0" w:after="0" w:afterAutospacing="0"/>
              <w:contextualSpacing/>
              <w:jc w:val="both"/>
            </w:pPr>
            <w:r w:rsidRPr="0043100B">
              <w:rPr>
                <w:rFonts w:eastAsiaTheme="minorEastAsia"/>
                <w:lang w:eastAsia="ru-RU"/>
              </w:rPr>
              <w:lastRenderedPageBreak/>
              <w:t xml:space="preserve">A selected participant is obliged to provide a contract performance </w:t>
            </w:r>
            <w:r w:rsidR="00BD38F6" w:rsidRPr="0043100B">
              <w:rPr>
                <w:rFonts w:eastAsiaTheme="minorEastAsia"/>
                <w:lang w:eastAsia="ru-RU"/>
              </w:rPr>
              <w:t xml:space="preserve">guarantee </w:t>
            </w:r>
            <w:r w:rsidRPr="0043100B">
              <w:rPr>
                <w:rFonts w:eastAsiaTheme="minorEastAsia"/>
                <w:lang w:eastAsia="ru-RU"/>
              </w:rPr>
              <w:t>in the amount of 2% of the contract amount in cash to the KGC account before signing the contract. Or in the form of a bank guarantee in the same amount, the bank guarantee must be advised by a correspondent bank located in the territory of the Kyrgyz Republic.</w:t>
            </w:r>
          </w:p>
        </w:tc>
      </w:tr>
      <w:tr w:rsidR="00121EDB" w:rsidRPr="00A63DCF" w14:paraId="498DA659" w14:textId="77777777">
        <w:tc>
          <w:tcPr>
            <w:tcW w:w="9679" w:type="dxa"/>
            <w:gridSpan w:val="2"/>
          </w:tcPr>
          <w:p w14:paraId="7EDA75E5" w14:textId="77777777" w:rsidR="00ED1BB6" w:rsidRPr="001A1621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Theme="minorEastAsia"/>
                <w:lang w:eastAsia="ru-RU"/>
              </w:rPr>
            </w:pPr>
            <w:r w:rsidRPr="00563EBE">
              <w:rPr>
                <w:rFonts w:eastAsiaTheme="minorEastAsia"/>
                <w:lang w:eastAsia="ru-RU"/>
              </w:rPr>
              <w:t>In the case of an advance payment, the winning company is obliged to provide a bank guarantee for the payment of an advance payment in an amount not less than the amount of the advance payment.</w:t>
            </w:r>
          </w:p>
          <w:p w14:paraId="1DE9C49C" w14:textId="77777777" w:rsidR="00ED1BB6" w:rsidRPr="001A1621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</w:pPr>
            <w:r>
              <w:t>A bank guarantee must be advised by a correspondent bank located in the territory of the Kyrgyz Republic.</w:t>
            </w:r>
          </w:p>
          <w:p w14:paraId="4CAAA520" w14:textId="2C28563C" w:rsidR="00121EDB" w:rsidRPr="001A1621" w:rsidRDefault="00ED1BB6" w:rsidP="00ED1BB6">
            <w:pPr>
              <w:pStyle w:val="ad"/>
              <w:spacing w:before="240" w:beforeAutospacing="0" w:after="0" w:afterAutospacing="0"/>
              <w:contextualSpacing/>
              <w:jc w:val="both"/>
            </w:pPr>
            <w:r>
              <w:rPr>
                <w:rFonts w:eastAsiaTheme="minorEastAsia"/>
                <w:lang w:eastAsia="ru-RU"/>
              </w:rPr>
              <w:t>All costs related to the advice of bank guarantees shall be borne by the Supplier.</w:t>
            </w:r>
          </w:p>
        </w:tc>
      </w:tr>
      <w:tr w:rsidR="0089095C" w:rsidRPr="00A63DCF" w14:paraId="1550040D" w14:textId="77777777">
        <w:tc>
          <w:tcPr>
            <w:tcW w:w="9679" w:type="dxa"/>
            <w:gridSpan w:val="2"/>
          </w:tcPr>
          <w:p w14:paraId="648ADE23" w14:textId="747F5300" w:rsidR="008B68E7" w:rsidRPr="001A1621" w:rsidRDefault="008B68E7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r w:rsidRPr="00CE0BDB">
              <w:t xml:space="preserve">All questions about this </w:t>
            </w:r>
            <w:r w:rsidR="00BD38F6">
              <w:t>tender</w:t>
            </w:r>
            <w:r w:rsidRPr="00CE0BDB">
              <w:t xml:space="preserve"> should be sent by e-mail to: Sanzhar.Beishenaliev@kumtor.kg</w:t>
            </w:r>
          </w:p>
          <w:p w14:paraId="3E78D170" w14:textId="77777777" w:rsidR="008B68E7" w:rsidRPr="001A1621" w:rsidRDefault="008B68E7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</w:p>
          <w:p w14:paraId="2A8A4399" w14:textId="56C56EE9" w:rsidR="0089095C" w:rsidRPr="001A1621" w:rsidRDefault="00BD38F6" w:rsidP="008B68E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r>
              <w:rPr>
                <w:b/>
                <w:bCs/>
                <w:i/>
                <w:iCs/>
              </w:rPr>
              <w:t>Tender b</w:t>
            </w:r>
            <w:r w:rsidR="008B68E7" w:rsidRPr="008C3AF0">
              <w:rPr>
                <w:b/>
                <w:bCs/>
                <w:i/>
                <w:iCs/>
              </w:rPr>
              <w:t>ids/</w:t>
            </w:r>
            <w:r>
              <w:rPr>
                <w:b/>
                <w:bCs/>
                <w:i/>
                <w:iCs/>
              </w:rPr>
              <w:t>applications</w:t>
            </w:r>
            <w:r w:rsidR="008B68E7" w:rsidRPr="008C3AF0">
              <w:rPr>
                <w:b/>
                <w:bCs/>
                <w:i/>
                <w:iCs/>
              </w:rPr>
              <w:t xml:space="preserve"> shall not be sent to this e-mail address!!</w:t>
            </w:r>
          </w:p>
        </w:tc>
      </w:tr>
      <w:tr w:rsidR="0089095C" w:rsidRPr="00A63DCF" w14:paraId="58622274" w14:textId="77777777">
        <w:tc>
          <w:tcPr>
            <w:tcW w:w="9679" w:type="dxa"/>
            <w:gridSpan w:val="2"/>
          </w:tcPr>
          <w:p w14:paraId="02CB9D67" w14:textId="4F1B086B" w:rsidR="0089095C" w:rsidRPr="001A1621" w:rsidRDefault="00596CFB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</w:pPr>
            <w:r w:rsidRPr="00CE0BDB">
              <w:t xml:space="preserve">Requests for clarification of the </w:t>
            </w:r>
            <w:r w:rsidR="00FA4EF9">
              <w:t>tender</w:t>
            </w:r>
            <w:r w:rsidRPr="00CE0BDB">
              <w:t xml:space="preserve"> conditions must be sent 3 calendar days before the deadline for submission of the proposal.</w:t>
            </w:r>
          </w:p>
        </w:tc>
      </w:tr>
    </w:tbl>
    <w:p w14:paraId="16FE8674" w14:textId="2C97E771" w:rsidR="00082007" w:rsidRPr="001A1621" w:rsidRDefault="00082007" w:rsidP="00CC2DD0">
      <w:pPr>
        <w:rPr>
          <w:rFonts w:ascii="Times New Roman" w:hAnsi="Times New Roman" w:cs="Times New Roman"/>
        </w:rPr>
      </w:pPr>
    </w:p>
    <w:p w14:paraId="78F39957" w14:textId="24C1434E" w:rsidR="00992E77" w:rsidRDefault="007206A0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Applications:</w:t>
      </w:r>
    </w:p>
    <w:p w14:paraId="1C63E768" w14:textId="2440B4EF" w:rsidR="007206A0" w:rsidRDefault="007206A0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1. List of goods. </w:t>
      </w:r>
    </w:p>
    <w:p w14:paraId="465EBA0C" w14:textId="5096AABF" w:rsidR="00024F67" w:rsidRPr="005670D2" w:rsidRDefault="00024F67" w:rsidP="00CC2DD0">
      <w:pPr>
        <w:rPr>
          <w:rFonts w:ascii="Times New Roman" w:hAnsi="Times New Roman" w:cs="Times New Roman"/>
        </w:rPr>
      </w:pPr>
    </w:p>
    <w:sectPr w:rsidR="00024F67" w:rsidRPr="005670D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218279">
    <w:abstractNumId w:val="1"/>
  </w:num>
  <w:num w:numId="2" w16cid:durableId="110219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4675"/>
    <w:rsid w:val="0001754E"/>
    <w:rsid w:val="00024F67"/>
    <w:rsid w:val="000336EC"/>
    <w:rsid w:val="0004182F"/>
    <w:rsid w:val="00044086"/>
    <w:rsid w:val="00045F38"/>
    <w:rsid w:val="000619C0"/>
    <w:rsid w:val="00070B4E"/>
    <w:rsid w:val="00072BA1"/>
    <w:rsid w:val="00073FF4"/>
    <w:rsid w:val="00076A36"/>
    <w:rsid w:val="00082007"/>
    <w:rsid w:val="000925FD"/>
    <w:rsid w:val="000A53DF"/>
    <w:rsid w:val="000B1A67"/>
    <w:rsid w:val="000C0CF2"/>
    <w:rsid w:val="000D1A10"/>
    <w:rsid w:val="000F1C59"/>
    <w:rsid w:val="000F7383"/>
    <w:rsid w:val="000F7466"/>
    <w:rsid w:val="00100A3D"/>
    <w:rsid w:val="00121A97"/>
    <w:rsid w:val="00121EDB"/>
    <w:rsid w:val="001226A8"/>
    <w:rsid w:val="001316A0"/>
    <w:rsid w:val="00132897"/>
    <w:rsid w:val="00145C8A"/>
    <w:rsid w:val="00167A0E"/>
    <w:rsid w:val="00171AAF"/>
    <w:rsid w:val="00172671"/>
    <w:rsid w:val="001A1621"/>
    <w:rsid w:val="001A3F60"/>
    <w:rsid w:val="001B7B9A"/>
    <w:rsid w:val="001C0A65"/>
    <w:rsid w:val="001C0BD7"/>
    <w:rsid w:val="00211BA4"/>
    <w:rsid w:val="002213AD"/>
    <w:rsid w:val="00221657"/>
    <w:rsid w:val="00227CCF"/>
    <w:rsid w:val="00233D0E"/>
    <w:rsid w:val="00235076"/>
    <w:rsid w:val="00241099"/>
    <w:rsid w:val="00241886"/>
    <w:rsid w:val="00241913"/>
    <w:rsid w:val="00250AAC"/>
    <w:rsid w:val="00262644"/>
    <w:rsid w:val="00275250"/>
    <w:rsid w:val="0027617B"/>
    <w:rsid w:val="00284D8E"/>
    <w:rsid w:val="002956E0"/>
    <w:rsid w:val="002A2908"/>
    <w:rsid w:val="002A56C2"/>
    <w:rsid w:val="002B1F9A"/>
    <w:rsid w:val="002B3F3B"/>
    <w:rsid w:val="002B4E23"/>
    <w:rsid w:val="002B4FAF"/>
    <w:rsid w:val="002C0E79"/>
    <w:rsid w:val="002C336B"/>
    <w:rsid w:val="002C524B"/>
    <w:rsid w:val="002D21F6"/>
    <w:rsid w:val="002E01F3"/>
    <w:rsid w:val="002F320A"/>
    <w:rsid w:val="002F5F2F"/>
    <w:rsid w:val="00300457"/>
    <w:rsid w:val="003047AF"/>
    <w:rsid w:val="0031668E"/>
    <w:rsid w:val="00326A97"/>
    <w:rsid w:val="003328FC"/>
    <w:rsid w:val="0033298A"/>
    <w:rsid w:val="00336B69"/>
    <w:rsid w:val="00343FF3"/>
    <w:rsid w:val="00355861"/>
    <w:rsid w:val="003629A1"/>
    <w:rsid w:val="0036531E"/>
    <w:rsid w:val="0038153C"/>
    <w:rsid w:val="00391925"/>
    <w:rsid w:val="00391EB7"/>
    <w:rsid w:val="003945F4"/>
    <w:rsid w:val="003973D6"/>
    <w:rsid w:val="003B57C7"/>
    <w:rsid w:val="003C0CAE"/>
    <w:rsid w:val="003C6A2E"/>
    <w:rsid w:val="003C79E6"/>
    <w:rsid w:val="003D6CCB"/>
    <w:rsid w:val="003E1B02"/>
    <w:rsid w:val="003F052E"/>
    <w:rsid w:val="003F2804"/>
    <w:rsid w:val="0040098F"/>
    <w:rsid w:val="004118FE"/>
    <w:rsid w:val="0041309B"/>
    <w:rsid w:val="00421744"/>
    <w:rsid w:val="004312C2"/>
    <w:rsid w:val="00454D88"/>
    <w:rsid w:val="00460BE8"/>
    <w:rsid w:val="004650D1"/>
    <w:rsid w:val="00467BEE"/>
    <w:rsid w:val="00470AAB"/>
    <w:rsid w:val="0047115B"/>
    <w:rsid w:val="00486953"/>
    <w:rsid w:val="00491204"/>
    <w:rsid w:val="004B51E4"/>
    <w:rsid w:val="004D1C83"/>
    <w:rsid w:val="004D1ED0"/>
    <w:rsid w:val="004E52B8"/>
    <w:rsid w:val="004E7449"/>
    <w:rsid w:val="00504A7C"/>
    <w:rsid w:val="00511197"/>
    <w:rsid w:val="00520E8E"/>
    <w:rsid w:val="00524BA6"/>
    <w:rsid w:val="00562C6A"/>
    <w:rsid w:val="005670D2"/>
    <w:rsid w:val="0057090A"/>
    <w:rsid w:val="00586042"/>
    <w:rsid w:val="00592FA1"/>
    <w:rsid w:val="005958DB"/>
    <w:rsid w:val="005962BA"/>
    <w:rsid w:val="00596CFB"/>
    <w:rsid w:val="005B3774"/>
    <w:rsid w:val="005C4D88"/>
    <w:rsid w:val="005D2EBE"/>
    <w:rsid w:val="005F1EBD"/>
    <w:rsid w:val="005F519B"/>
    <w:rsid w:val="0060153C"/>
    <w:rsid w:val="006052B2"/>
    <w:rsid w:val="0061763F"/>
    <w:rsid w:val="006347BD"/>
    <w:rsid w:val="00661B00"/>
    <w:rsid w:val="006656F2"/>
    <w:rsid w:val="00680E27"/>
    <w:rsid w:val="006970B0"/>
    <w:rsid w:val="006A1C22"/>
    <w:rsid w:val="006A4AFC"/>
    <w:rsid w:val="006C09F1"/>
    <w:rsid w:val="006C30BD"/>
    <w:rsid w:val="006D7A97"/>
    <w:rsid w:val="006E6E15"/>
    <w:rsid w:val="006F02A2"/>
    <w:rsid w:val="006F3587"/>
    <w:rsid w:val="006F6857"/>
    <w:rsid w:val="006F6B2B"/>
    <w:rsid w:val="006F7E79"/>
    <w:rsid w:val="007064E2"/>
    <w:rsid w:val="007078A0"/>
    <w:rsid w:val="00714D5D"/>
    <w:rsid w:val="007179F0"/>
    <w:rsid w:val="007206A0"/>
    <w:rsid w:val="00732797"/>
    <w:rsid w:val="00736D76"/>
    <w:rsid w:val="00741FBF"/>
    <w:rsid w:val="0074207C"/>
    <w:rsid w:val="00750DD3"/>
    <w:rsid w:val="0076436F"/>
    <w:rsid w:val="007649E3"/>
    <w:rsid w:val="00781D56"/>
    <w:rsid w:val="00785FB7"/>
    <w:rsid w:val="00794B38"/>
    <w:rsid w:val="00795F1E"/>
    <w:rsid w:val="007A3D61"/>
    <w:rsid w:val="007B262F"/>
    <w:rsid w:val="007B4F7A"/>
    <w:rsid w:val="007E34AA"/>
    <w:rsid w:val="0080207D"/>
    <w:rsid w:val="008072E1"/>
    <w:rsid w:val="00811934"/>
    <w:rsid w:val="00812B6E"/>
    <w:rsid w:val="008169B3"/>
    <w:rsid w:val="00816FF6"/>
    <w:rsid w:val="00830EA4"/>
    <w:rsid w:val="00832596"/>
    <w:rsid w:val="00845989"/>
    <w:rsid w:val="00872034"/>
    <w:rsid w:val="00873419"/>
    <w:rsid w:val="00882461"/>
    <w:rsid w:val="0089095C"/>
    <w:rsid w:val="008B3C41"/>
    <w:rsid w:val="008B54B9"/>
    <w:rsid w:val="008B68E7"/>
    <w:rsid w:val="008C19EC"/>
    <w:rsid w:val="008C5931"/>
    <w:rsid w:val="008C68E2"/>
    <w:rsid w:val="008C7900"/>
    <w:rsid w:val="008C7975"/>
    <w:rsid w:val="008D0395"/>
    <w:rsid w:val="008D5EB0"/>
    <w:rsid w:val="008E0418"/>
    <w:rsid w:val="008F496A"/>
    <w:rsid w:val="008F4C3C"/>
    <w:rsid w:val="008F68DC"/>
    <w:rsid w:val="00902D8C"/>
    <w:rsid w:val="00904646"/>
    <w:rsid w:val="00921ECD"/>
    <w:rsid w:val="009234DA"/>
    <w:rsid w:val="00934389"/>
    <w:rsid w:val="00945039"/>
    <w:rsid w:val="009545A4"/>
    <w:rsid w:val="00955178"/>
    <w:rsid w:val="0096701E"/>
    <w:rsid w:val="00980D4F"/>
    <w:rsid w:val="00982F3B"/>
    <w:rsid w:val="00983C0C"/>
    <w:rsid w:val="00983C7F"/>
    <w:rsid w:val="00987A44"/>
    <w:rsid w:val="00992E77"/>
    <w:rsid w:val="009941BB"/>
    <w:rsid w:val="009A1F0E"/>
    <w:rsid w:val="009A340A"/>
    <w:rsid w:val="009B0DB3"/>
    <w:rsid w:val="009B54CA"/>
    <w:rsid w:val="009C0FF2"/>
    <w:rsid w:val="009C714A"/>
    <w:rsid w:val="009C7D64"/>
    <w:rsid w:val="009D30EB"/>
    <w:rsid w:val="009E6528"/>
    <w:rsid w:val="009F1217"/>
    <w:rsid w:val="009F5172"/>
    <w:rsid w:val="00A152F7"/>
    <w:rsid w:val="00A259ED"/>
    <w:rsid w:val="00A27894"/>
    <w:rsid w:val="00A339B0"/>
    <w:rsid w:val="00A55597"/>
    <w:rsid w:val="00A62E8D"/>
    <w:rsid w:val="00A63DCF"/>
    <w:rsid w:val="00A645EB"/>
    <w:rsid w:val="00A65D15"/>
    <w:rsid w:val="00A70064"/>
    <w:rsid w:val="00A729D6"/>
    <w:rsid w:val="00A84115"/>
    <w:rsid w:val="00A9003E"/>
    <w:rsid w:val="00A91280"/>
    <w:rsid w:val="00AB000F"/>
    <w:rsid w:val="00AB38A5"/>
    <w:rsid w:val="00AB6ACD"/>
    <w:rsid w:val="00AD42EE"/>
    <w:rsid w:val="00AD4EE0"/>
    <w:rsid w:val="00AF1C54"/>
    <w:rsid w:val="00AF2AD2"/>
    <w:rsid w:val="00AF305F"/>
    <w:rsid w:val="00AF5407"/>
    <w:rsid w:val="00B0769C"/>
    <w:rsid w:val="00B36C76"/>
    <w:rsid w:val="00B5106E"/>
    <w:rsid w:val="00B724BC"/>
    <w:rsid w:val="00B755B0"/>
    <w:rsid w:val="00B82432"/>
    <w:rsid w:val="00B83D56"/>
    <w:rsid w:val="00B857EC"/>
    <w:rsid w:val="00B95551"/>
    <w:rsid w:val="00B96E79"/>
    <w:rsid w:val="00BA44B8"/>
    <w:rsid w:val="00BB52A5"/>
    <w:rsid w:val="00BC16C6"/>
    <w:rsid w:val="00BD38F6"/>
    <w:rsid w:val="00BE21B5"/>
    <w:rsid w:val="00BE2D0D"/>
    <w:rsid w:val="00BE4BD6"/>
    <w:rsid w:val="00BF5416"/>
    <w:rsid w:val="00C139DC"/>
    <w:rsid w:val="00C20043"/>
    <w:rsid w:val="00C32C21"/>
    <w:rsid w:val="00C3501D"/>
    <w:rsid w:val="00C37361"/>
    <w:rsid w:val="00C43B78"/>
    <w:rsid w:val="00C50F54"/>
    <w:rsid w:val="00C520ED"/>
    <w:rsid w:val="00C60EA0"/>
    <w:rsid w:val="00C87DFD"/>
    <w:rsid w:val="00C92CDE"/>
    <w:rsid w:val="00C95B9E"/>
    <w:rsid w:val="00CA7A5C"/>
    <w:rsid w:val="00CB10DB"/>
    <w:rsid w:val="00CB21B5"/>
    <w:rsid w:val="00CC2DD0"/>
    <w:rsid w:val="00CC3BA7"/>
    <w:rsid w:val="00CC4A5D"/>
    <w:rsid w:val="00CD384D"/>
    <w:rsid w:val="00CE0BDB"/>
    <w:rsid w:val="00CE3E81"/>
    <w:rsid w:val="00CE427A"/>
    <w:rsid w:val="00CF6BFD"/>
    <w:rsid w:val="00D1312B"/>
    <w:rsid w:val="00D25D91"/>
    <w:rsid w:val="00D25FEC"/>
    <w:rsid w:val="00D363B2"/>
    <w:rsid w:val="00D5757D"/>
    <w:rsid w:val="00D60121"/>
    <w:rsid w:val="00D63CFB"/>
    <w:rsid w:val="00D72DF8"/>
    <w:rsid w:val="00DA062B"/>
    <w:rsid w:val="00DA0DBA"/>
    <w:rsid w:val="00DA17D5"/>
    <w:rsid w:val="00DD2C68"/>
    <w:rsid w:val="00DE4F53"/>
    <w:rsid w:val="00DF1DB2"/>
    <w:rsid w:val="00DF54DB"/>
    <w:rsid w:val="00E0337A"/>
    <w:rsid w:val="00E13598"/>
    <w:rsid w:val="00E168DD"/>
    <w:rsid w:val="00E34396"/>
    <w:rsid w:val="00E424F8"/>
    <w:rsid w:val="00E47C0B"/>
    <w:rsid w:val="00E504FA"/>
    <w:rsid w:val="00E83FDA"/>
    <w:rsid w:val="00E87B9B"/>
    <w:rsid w:val="00E9050C"/>
    <w:rsid w:val="00E91757"/>
    <w:rsid w:val="00E96B0F"/>
    <w:rsid w:val="00EA5FCB"/>
    <w:rsid w:val="00EA650F"/>
    <w:rsid w:val="00EC7306"/>
    <w:rsid w:val="00ED1BB6"/>
    <w:rsid w:val="00EF0BFC"/>
    <w:rsid w:val="00EF0D8F"/>
    <w:rsid w:val="00F03AFD"/>
    <w:rsid w:val="00F04FD0"/>
    <w:rsid w:val="00F16E1C"/>
    <w:rsid w:val="00F2372C"/>
    <w:rsid w:val="00F27751"/>
    <w:rsid w:val="00F67586"/>
    <w:rsid w:val="00F72D25"/>
    <w:rsid w:val="00F81839"/>
    <w:rsid w:val="00F846A4"/>
    <w:rsid w:val="00FA4EF9"/>
    <w:rsid w:val="00FB5537"/>
    <w:rsid w:val="00FE5E69"/>
    <w:rsid w:val="00FF4006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9FF7A6C7-CCEC-4267-B148-E3A0BA52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Placeholder Text"/>
    <w:basedOn w:val="a0"/>
    <w:uiPriority w:val="99"/>
    <w:semiHidden/>
    <w:rsid w:val="001A1621"/>
    <w:rPr>
      <w:color w:val="666666"/>
    </w:rPr>
  </w:style>
  <w:style w:type="character" w:styleId="af2">
    <w:name w:val="Unresolved Mention"/>
    <w:basedOn w:val="a0"/>
    <w:uiPriority w:val="99"/>
    <w:semiHidden/>
    <w:unhideWhenUsed/>
    <w:rsid w:val="0059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rost_fighter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545</Words>
  <Characters>2909</Characters>
  <Application>Microsoft Office Word</Application>
  <DocSecurity>0</DocSecurity>
  <Lines>69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Sanzhar Beishenaliev</cp:lastModifiedBy>
  <cp:revision>12</cp:revision>
  <dcterms:created xsi:type="dcterms:W3CDTF">2026-01-12T03:31:00Z</dcterms:created>
  <dcterms:modified xsi:type="dcterms:W3CDTF">2026-02-13T04:23:00Z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